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5ED0A"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161902C9"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16933DCA" w14:textId="77777777" w:rsidTr="00E97024">
        <w:tc>
          <w:tcPr>
            <w:tcW w:w="3715" w:type="dxa"/>
          </w:tcPr>
          <w:p w14:paraId="588C9E2D"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259D174A" w14:textId="77777777" w:rsidR="00B87695" w:rsidRPr="00A96C08" w:rsidRDefault="00EE7812" w:rsidP="006E3B71">
            <w:pPr>
              <w:rPr>
                <w:rFonts w:ascii="Arial" w:hAnsi="Arial" w:cs="Arial"/>
              </w:rPr>
            </w:pPr>
            <w:r>
              <w:rPr>
                <w:rFonts w:ascii="Arial" w:hAnsi="Arial" w:cs="Arial"/>
              </w:rPr>
              <w:t xml:space="preserve">Relocating Customer Services Face to Face Services to the </w:t>
            </w:r>
            <w:r w:rsidR="006E3B71">
              <w:rPr>
                <w:rFonts w:ascii="Arial" w:hAnsi="Arial" w:cs="Arial"/>
              </w:rPr>
              <w:t>Westgate</w:t>
            </w:r>
            <w:r>
              <w:rPr>
                <w:rFonts w:ascii="Arial" w:hAnsi="Arial" w:cs="Arial"/>
              </w:rPr>
              <w:t xml:space="preserve"> Library </w:t>
            </w:r>
            <w:r w:rsidR="00653720">
              <w:rPr>
                <w:rFonts w:ascii="Arial" w:hAnsi="Arial" w:cs="Arial"/>
              </w:rPr>
              <w:t>– Pilot Scheme</w:t>
            </w:r>
          </w:p>
        </w:tc>
      </w:tr>
      <w:tr w:rsidR="006F6326" w14:paraId="0A3EF881" w14:textId="77777777" w:rsidTr="00E97024">
        <w:tc>
          <w:tcPr>
            <w:tcW w:w="3715" w:type="dxa"/>
          </w:tcPr>
          <w:p w14:paraId="29B621EF"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4B40A677" w14:textId="77777777" w:rsidR="00263039" w:rsidRPr="00A96C08" w:rsidRDefault="006E3B71" w:rsidP="003E6450">
            <w:pPr>
              <w:rPr>
                <w:rFonts w:ascii="Arial" w:hAnsi="Arial" w:cs="Arial"/>
              </w:rPr>
            </w:pPr>
            <w:r>
              <w:rPr>
                <w:rFonts w:ascii="Arial" w:hAnsi="Arial" w:cs="Arial"/>
              </w:rPr>
              <w:t>14 January 2022</w:t>
            </w:r>
          </w:p>
        </w:tc>
      </w:tr>
      <w:tr w:rsidR="00854133" w14:paraId="1C7FD6E3" w14:textId="77777777" w:rsidTr="006E3B71">
        <w:trPr>
          <w:trHeight w:val="1967"/>
        </w:trPr>
        <w:tc>
          <w:tcPr>
            <w:tcW w:w="3715" w:type="dxa"/>
          </w:tcPr>
          <w:p w14:paraId="2CD0151A" w14:textId="3643F1F4" w:rsidR="00854133" w:rsidRPr="00854133" w:rsidRDefault="00854133" w:rsidP="00875E27">
            <w:pPr>
              <w:spacing w:before="120" w:after="120"/>
              <w:rPr>
                <w:rFonts w:ascii="Arial" w:hAnsi="Arial" w:cs="Arial"/>
              </w:rPr>
            </w:pPr>
            <w:r>
              <w:rPr>
                <w:rFonts w:ascii="Arial" w:hAnsi="Arial" w:cs="Arial"/>
                <w:b/>
              </w:rPr>
              <w:t xml:space="preserve">Source of delegation: </w:t>
            </w:r>
          </w:p>
        </w:tc>
        <w:tc>
          <w:tcPr>
            <w:tcW w:w="6209" w:type="dxa"/>
          </w:tcPr>
          <w:p w14:paraId="63C52095" w14:textId="605DEE22" w:rsidR="00E97024" w:rsidRPr="00E20A54" w:rsidRDefault="006E3B71" w:rsidP="00E547F1">
            <w:pPr>
              <w:rPr>
                <w:rFonts w:ascii="Arial" w:hAnsi="Arial" w:cs="Arial"/>
              </w:rPr>
            </w:pPr>
            <w:r>
              <w:rPr>
                <w:rFonts w:ascii="Arial" w:hAnsi="Arial" w:cs="Arial"/>
              </w:rPr>
              <w:t>Decision</w:t>
            </w:r>
            <w:r w:rsidR="00D17A31">
              <w:rPr>
                <w:rFonts w:ascii="Arial" w:hAnsi="Arial" w:cs="Arial"/>
              </w:rPr>
              <w:t xml:space="preserve"> </w:t>
            </w:r>
            <w:r w:rsidR="00E547F1" w:rsidRPr="00E547F1">
              <w:rPr>
                <w:rFonts w:ascii="Arial" w:hAnsi="Arial" w:cs="Arial"/>
              </w:rPr>
              <w:t xml:space="preserve">delegated to officers </w:t>
            </w:r>
            <w:r w:rsidR="00E547F1">
              <w:rPr>
                <w:rFonts w:ascii="Arial" w:hAnsi="Arial" w:cs="Arial"/>
              </w:rPr>
              <w:t>as</w:t>
            </w:r>
            <w:r w:rsidR="00E547F1" w:rsidRPr="00E547F1">
              <w:rPr>
                <w:rFonts w:ascii="Arial" w:hAnsi="Arial" w:cs="Arial"/>
              </w:rPr>
              <w:t xml:space="preserve"> </w:t>
            </w:r>
            <w:r w:rsidR="003E6450">
              <w:rPr>
                <w:rFonts w:ascii="Arial" w:hAnsi="Arial" w:cs="Arial"/>
              </w:rPr>
              <w:t xml:space="preserve">per </w:t>
            </w:r>
            <w:r w:rsidR="00C601C5">
              <w:rPr>
                <w:rFonts w:ascii="Arial" w:hAnsi="Arial" w:cs="Arial"/>
              </w:rPr>
              <w:t>Section 4.4</w:t>
            </w:r>
            <w:r w:rsidR="00B72B35">
              <w:rPr>
                <w:rFonts w:ascii="Arial" w:hAnsi="Arial" w:cs="Arial"/>
              </w:rPr>
              <w:t xml:space="preserve"> of the Constitution</w:t>
            </w:r>
            <w:r w:rsidR="00C601C5">
              <w:rPr>
                <w:rFonts w:ascii="Arial" w:hAnsi="Arial" w:cs="Arial"/>
              </w:rPr>
              <w:t>: a</w:t>
            </w:r>
            <w:r w:rsidR="00C601C5" w:rsidRPr="00CE582C">
              <w:rPr>
                <w:rFonts w:ascii="Arial" w:hAnsi="Arial" w:cs="Arial"/>
              </w:rPr>
              <w:t>ll executive functions except the ones in Part 4.5, 4.6, and 4.7 are delegated to</w:t>
            </w:r>
            <w:r w:rsidR="00C601C5">
              <w:rPr>
                <w:rFonts w:ascii="Arial" w:hAnsi="Arial" w:cs="Arial"/>
              </w:rPr>
              <w:t xml:space="preserve"> </w:t>
            </w:r>
            <w:r w:rsidR="00C601C5" w:rsidRPr="00CE582C">
              <w:rPr>
                <w:rFonts w:ascii="Arial" w:hAnsi="Arial" w:cs="Arial"/>
              </w:rPr>
              <w:t>the officers in the senior management structure</w:t>
            </w:r>
            <w:r w:rsidR="00C601C5">
              <w:rPr>
                <w:rFonts w:ascii="Arial" w:hAnsi="Arial" w:cs="Arial"/>
              </w:rPr>
              <w:t>.</w:t>
            </w:r>
          </w:p>
        </w:tc>
      </w:tr>
      <w:tr w:rsidR="00B87695" w14:paraId="0519A18B" w14:textId="77777777" w:rsidTr="00E97024">
        <w:tc>
          <w:tcPr>
            <w:tcW w:w="3715" w:type="dxa"/>
          </w:tcPr>
          <w:p w14:paraId="6F638560" w14:textId="67A5F4DB" w:rsidR="003B1236" w:rsidRPr="00B87695" w:rsidRDefault="00854133" w:rsidP="00875E27">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58009595" w14:textId="77777777" w:rsidR="006E3B71" w:rsidRDefault="004E043F" w:rsidP="00653720">
            <w:pPr>
              <w:rPr>
                <w:rFonts w:ascii="Arial" w:hAnsi="Arial" w:cs="Arial"/>
              </w:rPr>
            </w:pPr>
            <w:r>
              <w:rPr>
                <w:rFonts w:ascii="Arial" w:hAnsi="Arial" w:cs="Arial"/>
              </w:rPr>
              <w:t>T</w:t>
            </w:r>
            <w:r w:rsidR="001109AB">
              <w:rPr>
                <w:rFonts w:ascii="Arial" w:hAnsi="Arial" w:cs="Arial"/>
              </w:rPr>
              <w:t xml:space="preserve">o </w:t>
            </w:r>
            <w:r w:rsidR="006E3B71">
              <w:rPr>
                <w:rFonts w:ascii="Arial" w:hAnsi="Arial" w:cs="Arial"/>
              </w:rPr>
              <w:t xml:space="preserve">relocate the City Council’s customer services centre from the ground floor of St Aldates Chambers to the Westgate Library, and enter into a 12 months licence with Oxfordshire County Council to support this move. </w:t>
            </w:r>
          </w:p>
          <w:p w14:paraId="29774993" w14:textId="77777777" w:rsidR="006E3B71" w:rsidRDefault="006E3B71" w:rsidP="00653720">
            <w:pPr>
              <w:rPr>
                <w:rFonts w:ascii="Arial" w:hAnsi="Arial" w:cs="Arial"/>
              </w:rPr>
            </w:pPr>
          </w:p>
          <w:p w14:paraId="604E5B13" w14:textId="77777777" w:rsidR="006E3B71" w:rsidRDefault="006E3B71" w:rsidP="00653720">
            <w:pPr>
              <w:rPr>
                <w:rFonts w:ascii="Arial" w:hAnsi="Arial" w:cs="Arial"/>
              </w:rPr>
            </w:pPr>
            <w:r>
              <w:rPr>
                <w:rFonts w:ascii="Arial" w:hAnsi="Arial" w:cs="Arial"/>
              </w:rPr>
              <w:t xml:space="preserve">The project is a pilot, but if successful is intended to continue beyond the initial 12 months. </w:t>
            </w:r>
          </w:p>
          <w:p w14:paraId="3908DD77" w14:textId="77777777" w:rsidR="00653720" w:rsidRDefault="00653720" w:rsidP="00653720">
            <w:pPr>
              <w:rPr>
                <w:rFonts w:ascii="Arial" w:hAnsi="Arial" w:cs="Arial"/>
              </w:rPr>
            </w:pPr>
          </w:p>
          <w:p w14:paraId="2424F7D9" w14:textId="7C76947E" w:rsidR="00653720" w:rsidRDefault="001109AB" w:rsidP="00653720">
            <w:pPr>
              <w:rPr>
                <w:rFonts w:ascii="Arial" w:hAnsi="Arial" w:cs="Arial"/>
              </w:rPr>
            </w:pPr>
            <w:r>
              <w:rPr>
                <w:rFonts w:ascii="Arial" w:hAnsi="Arial" w:cs="Arial"/>
              </w:rPr>
              <w:t xml:space="preserve">The total cost of the move </w:t>
            </w:r>
            <w:r w:rsidR="00653720">
              <w:rPr>
                <w:rFonts w:ascii="Arial" w:hAnsi="Arial" w:cs="Arial"/>
              </w:rPr>
              <w:t>is estimated to be no more t</w:t>
            </w:r>
            <w:r w:rsidR="00A70B65">
              <w:rPr>
                <w:rFonts w:ascii="Arial" w:hAnsi="Arial" w:cs="Arial"/>
              </w:rPr>
              <w:t>han £5300</w:t>
            </w:r>
            <w:r w:rsidR="00653720">
              <w:rPr>
                <w:rFonts w:ascii="Arial" w:hAnsi="Arial" w:cs="Arial"/>
              </w:rPr>
              <w:t xml:space="preserve">. This includes disposal and provision of furniture, moving and set up costs. This cost it to be met from the Capital Reserve. </w:t>
            </w:r>
          </w:p>
          <w:p w14:paraId="3944FC9A" w14:textId="77777777" w:rsidR="00653720" w:rsidRDefault="00653720" w:rsidP="00653720">
            <w:pPr>
              <w:rPr>
                <w:rFonts w:ascii="Arial" w:hAnsi="Arial" w:cs="Arial"/>
              </w:rPr>
            </w:pPr>
          </w:p>
          <w:p w14:paraId="269B5F56" w14:textId="77777777" w:rsidR="00653720" w:rsidRDefault="00653720" w:rsidP="00653720">
            <w:pPr>
              <w:rPr>
                <w:rFonts w:ascii="Arial" w:hAnsi="Arial" w:cs="Arial"/>
              </w:rPr>
            </w:pPr>
            <w:r>
              <w:rPr>
                <w:rFonts w:ascii="Arial" w:hAnsi="Arial" w:cs="Arial"/>
              </w:rPr>
              <w:t>A</w:t>
            </w:r>
            <w:r w:rsidR="001109AB">
              <w:rPr>
                <w:rFonts w:ascii="Arial" w:hAnsi="Arial" w:cs="Arial"/>
              </w:rPr>
              <w:t xml:space="preserve"> 12 month licence fee</w:t>
            </w:r>
            <w:r>
              <w:rPr>
                <w:rFonts w:ascii="Arial" w:hAnsi="Arial" w:cs="Arial"/>
              </w:rPr>
              <w:t xml:space="preserve">, with a break from 3 months, with 1 month notice, has been agreed with the County Council. </w:t>
            </w:r>
            <w:r w:rsidR="003E6450">
              <w:rPr>
                <w:rFonts w:ascii="Arial" w:hAnsi="Arial" w:cs="Arial"/>
              </w:rPr>
              <w:t xml:space="preserve">Citizen Advice Oxford will </w:t>
            </w:r>
            <w:r w:rsidR="00F506B3">
              <w:rPr>
                <w:rFonts w:ascii="Arial" w:hAnsi="Arial" w:cs="Arial"/>
              </w:rPr>
              <w:t xml:space="preserve">to continue to co-locate with </w:t>
            </w:r>
            <w:r>
              <w:rPr>
                <w:rFonts w:ascii="Arial" w:hAnsi="Arial" w:cs="Arial"/>
              </w:rPr>
              <w:t xml:space="preserve">the City Council at the Westgate Library, and will contribute to the licence fee on a proportional basis. </w:t>
            </w:r>
          </w:p>
          <w:p w14:paraId="31A53358" w14:textId="77777777" w:rsidR="00653720" w:rsidRDefault="00D17A31" w:rsidP="00653720">
            <w:pPr>
              <w:rPr>
                <w:rFonts w:ascii="Arial" w:hAnsi="Arial" w:cs="Arial"/>
              </w:rPr>
            </w:pPr>
            <w:r>
              <w:rPr>
                <w:rFonts w:ascii="Arial" w:hAnsi="Arial" w:cs="Arial"/>
              </w:rPr>
              <w:t xml:space="preserve">This </w:t>
            </w:r>
            <w:r w:rsidR="00653720">
              <w:rPr>
                <w:rFonts w:ascii="Arial" w:hAnsi="Arial" w:cs="Arial"/>
              </w:rPr>
              <w:t xml:space="preserve">licence fee amount </w:t>
            </w:r>
            <w:r>
              <w:rPr>
                <w:rFonts w:ascii="Arial" w:hAnsi="Arial" w:cs="Arial"/>
              </w:rPr>
              <w:t xml:space="preserve">is </w:t>
            </w:r>
            <w:r w:rsidR="00653720">
              <w:rPr>
                <w:rFonts w:ascii="Arial" w:hAnsi="Arial" w:cs="Arial"/>
              </w:rPr>
              <w:t xml:space="preserve">deemed to be </w:t>
            </w:r>
            <w:r>
              <w:rPr>
                <w:rFonts w:ascii="Arial" w:hAnsi="Arial" w:cs="Arial"/>
              </w:rPr>
              <w:t xml:space="preserve">confidential from an </w:t>
            </w:r>
            <w:r w:rsidRPr="00D17A31">
              <w:rPr>
                <w:rFonts w:ascii="Arial" w:hAnsi="Arial" w:cs="Arial"/>
              </w:rPr>
              <w:t xml:space="preserve">Oxfordshire County Council </w:t>
            </w:r>
            <w:r>
              <w:rPr>
                <w:rFonts w:ascii="Arial" w:hAnsi="Arial" w:cs="Arial"/>
              </w:rPr>
              <w:t>as it is commercially sensitive</w:t>
            </w:r>
            <w:r w:rsidR="00653720">
              <w:rPr>
                <w:rFonts w:ascii="Arial" w:hAnsi="Arial" w:cs="Arial"/>
              </w:rPr>
              <w:t xml:space="preserve">. This is set out in a confidential appendix to this report. </w:t>
            </w:r>
          </w:p>
          <w:p w14:paraId="29AF8D4A" w14:textId="77777777" w:rsidR="004E043F" w:rsidRDefault="004E043F" w:rsidP="00653720">
            <w:pPr>
              <w:rPr>
                <w:rFonts w:ascii="Arial" w:hAnsi="Arial" w:cs="Arial"/>
              </w:rPr>
            </w:pPr>
          </w:p>
          <w:p w14:paraId="4ECC0CF3" w14:textId="77777777" w:rsidR="006247C4" w:rsidRPr="00A96C08" w:rsidRDefault="004E043F" w:rsidP="00653720">
            <w:pPr>
              <w:rPr>
                <w:rFonts w:ascii="Arial" w:hAnsi="Arial" w:cs="Arial"/>
              </w:rPr>
            </w:pPr>
            <w:r>
              <w:rPr>
                <w:rFonts w:ascii="Arial" w:hAnsi="Arial" w:cs="Arial"/>
              </w:rPr>
              <w:t xml:space="preserve">The pilot will be subject to on-going evaluation, including customer and staff feedback from the City and County Councils. </w:t>
            </w:r>
            <w:r w:rsidR="00653720">
              <w:rPr>
                <w:rFonts w:ascii="Arial" w:hAnsi="Arial" w:cs="Arial"/>
              </w:rPr>
              <w:t xml:space="preserve">Should the pilot not </w:t>
            </w:r>
            <w:r>
              <w:rPr>
                <w:rFonts w:ascii="Arial" w:hAnsi="Arial" w:cs="Arial"/>
              </w:rPr>
              <w:t xml:space="preserve">be successful then the Council will revert to provision of its own customer services centre. </w:t>
            </w:r>
          </w:p>
        </w:tc>
      </w:tr>
      <w:tr w:rsidR="00373F5D" w14:paraId="7A5C1546" w14:textId="77777777" w:rsidTr="00E97024">
        <w:tc>
          <w:tcPr>
            <w:tcW w:w="3715" w:type="dxa"/>
          </w:tcPr>
          <w:p w14:paraId="43570E1D" w14:textId="64AF5FE1" w:rsidR="00373F5D" w:rsidRPr="00373F5D" w:rsidRDefault="00373F5D" w:rsidP="00875E27">
            <w:pPr>
              <w:spacing w:before="120" w:after="120"/>
              <w:rPr>
                <w:rFonts w:ascii="Arial" w:hAnsi="Arial" w:cs="Arial"/>
              </w:rPr>
            </w:pPr>
            <w:r>
              <w:rPr>
                <w:rFonts w:ascii="Arial" w:hAnsi="Arial" w:cs="Arial"/>
                <w:b/>
              </w:rPr>
              <w:t xml:space="preserve">Purpose: </w:t>
            </w:r>
          </w:p>
        </w:tc>
        <w:tc>
          <w:tcPr>
            <w:tcW w:w="6209" w:type="dxa"/>
          </w:tcPr>
          <w:p w14:paraId="7DC54659" w14:textId="77777777" w:rsidR="004E043F" w:rsidRDefault="004E043F" w:rsidP="004E043F">
            <w:pPr>
              <w:rPr>
                <w:rFonts w:ascii="Arial" w:hAnsi="Arial" w:cs="Arial"/>
              </w:rPr>
            </w:pPr>
            <w:r>
              <w:rPr>
                <w:rFonts w:ascii="Arial" w:hAnsi="Arial" w:cs="Arial"/>
              </w:rPr>
              <w:t xml:space="preserve">The co-location of </w:t>
            </w:r>
            <w:r w:rsidR="00D9397D">
              <w:rPr>
                <w:rFonts w:ascii="Arial" w:hAnsi="Arial" w:cs="Arial"/>
              </w:rPr>
              <w:t xml:space="preserve">the </w:t>
            </w:r>
            <w:r>
              <w:rPr>
                <w:rFonts w:ascii="Arial" w:hAnsi="Arial" w:cs="Arial"/>
              </w:rPr>
              <w:t>City Council</w:t>
            </w:r>
            <w:r w:rsidR="00D9397D">
              <w:rPr>
                <w:rFonts w:ascii="Arial" w:hAnsi="Arial" w:cs="Arial"/>
              </w:rPr>
              <w:t>’s</w:t>
            </w:r>
            <w:r>
              <w:rPr>
                <w:rFonts w:ascii="Arial" w:hAnsi="Arial" w:cs="Arial"/>
              </w:rPr>
              <w:t xml:space="preserve"> face to face customer services with those of the County Council in the Westgate Library, as a pilot project.</w:t>
            </w:r>
          </w:p>
          <w:p w14:paraId="1428C00B" w14:textId="77777777" w:rsidR="00960744" w:rsidRPr="00A96C08" w:rsidRDefault="00960744" w:rsidP="004E043F">
            <w:pPr>
              <w:rPr>
                <w:rFonts w:ascii="Arial" w:hAnsi="Arial" w:cs="Arial"/>
              </w:rPr>
            </w:pPr>
          </w:p>
        </w:tc>
      </w:tr>
      <w:tr w:rsidR="00DC2E8D" w14:paraId="00CC63AC" w14:textId="77777777" w:rsidTr="00E97024">
        <w:tc>
          <w:tcPr>
            <w:tcW w:w="3715" w:type="dxa"/>
          </w:tcPr>
          <w:p w14:paraId="39A90FDF" w14:textId="36FE3147" w:rsidR="00DC2E8D" w:rsidRPr="008E4629" w:rsidRDefault="008E4629" w:rsidP="00875E27">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25D2B827" w14:textId="77777777" w:rsidR="004E043F" w:rsidRDefault="004E043F" w:rsidP="001E655C">
            <w:pPr>
              <w:rPr>
                <w:rFonts w:ascii="Arial" w:hAnsi="Arial" w:cs="Arial"/>
              </w:rPr>
            </w:pPr>
            <w:r>
              <w:rPr>
                <w:rFonts w:ascii="Arial" w:hAnsi="Arial" w:cs="Arial"/>
              </w:rPr>
              <w:t xml:space="preserve">This pilot is aimed at delivering improved services to our residents by co-locating more face to face customer services provision in one place. This should be more convenient for residents, as well as providing opportunities for more effective triage and co-ordination between services.  </w:t>
            </w:r>
          </w:p>
          <w:p w14:paraId="1FEF775A" w14:textId="77777777" w:rsidR="004E043F" w:rsidRDefault="004E043F" w:rsidP="001E655C">
            <w:pPr>
              <w:rPr>
                <w:rFonts w:ascii="Arial" w:hAnsi="Arial" w:cs="Arial"/>
              </w:rPr>
            </w:pPr>
          </w:p>
          <w:p w14:paraId="40C2809A" w14:textId="77777777" w:rsidR="00757726" w:rsidRPr="00A96C08" w:rsidRDefault="00D9397D" w:rsidP="001E655C">
            <w:pPr>
              <w:rPr>
                <w:rFonts w:ascii="Arial" w:hAnsi="Arial" w:cs="Arial"/>
              </w:rPr>
            </w:pPr>
            <w:r>
              <w:rPr>
                <w:rFonts w:ascii="Arial" w:hAnsi="Arial" w:cs="Arial"/>
              </w:rPr>
              <w:lastRenderedPageBreak/>
              <w:t>It also provides</w:t>
            </w:r>
            <w:r w:rsidR="004E043F">
              <w:rPr>
                <w:rFonts w:ascii="Arial" w:hAnsi="Arial" w:cs="Arial"/>
              </w:rPr>
              <w:t xml:space="preserve"> the City Council with flexibility around its own </w:t>
            </w:r>
            <w:r>
              <w:rPr>
                <w:rFonts w:ascii="Arial" w:hAnsi="Arial" w:cs="Arial"/>
              </w:rPr>
              <w:t xml:space="preserve">future use of the </w:t>
            </w:r>
            <w:r w:rsidR="004E043F">
              <w:rPr>
                <w:rFonts w:ascii="Arial" w:hAnsi="Arial" w:cs="Arial"/>
              </w:rPr>
              <w:t xml:space="preserve">office accommodation at St Aldates Chambers. </w:t>
            </w:r>
            <w:r w:rsidR="004E043F" w:rsidRPr="00F506B3">
              <w:rPr>
                <w:rFonts w:ascii="Arial" w:hAnsi="Arial" w:cs="Arial"/>
              </w:rPr>
              <w:t xml:space="preserve"> </w:t>
            </w:r>
          </w:p>
        </w:tc>
      </w:tr>
      <w:tr w:rsidR="00B87695" w14:paraId="7FEC0831" w14:textId="77777777" w:rsidTr="00E97024">
        <w:tc>
          <w:tcPr>
            <w:tcW w:w="3715" w:type="dxa"/>
          </w:tcPr>
          <w:p w14:paraId="3C187B27" w14:textId="050E3E1C" w:rsidR="00B87695" w:rsidRPr="00B87695" w:rsidRDefault="00B87695" w:rsidP="00875E27">
            <w:pPr>
              <w:spacing w:before="120" w:after="120"/>
              <w:rPr>
                <w:rFonts w:ascii="Arial" w:hAnsi="Arial" w:cs="Arial"/>
              </w:rPr>
            </w:pPr>
            <w:r w:rsidRPr="00B87695">
              <w:rPr>
                <w:rFonts w:ascii="Arial" w:hAnsi="Arial" w:cs="Arial"/>
                <w:b/>
              </w:rPr>
              <w:lastRenderedPageBreak/>
              <w:t xml:space="preserve">Decision made by: </w:t>
            </w:r>
          </w:p>
        </w:tc>
        <w:tc>
          <w:tcPr>
            <w:tcW w:w="6209" w:type="dxa"/>
          </w:tcPr>
          <w:p w14:paraId="12394D74" w14:textId="77777777" w:rsidR="00D9397D" w:rsidRDefault="00D9397D" w:rsidP="00AA42D7">
            <w:pPr>
              <w:rPr>
                <w:rFonts w:ascii="Arial" w:hAnsi="Arial" w:cs="Arial"/>
              </w:rPr>
            </w:pPr>
          </w:p>
          <w:p w14:paraId="3B5D289E" w14:textId="6E73C8A0" w:rsidR="00E97024" w:rsidRPr="00A96C08" w:rsidRDefault="00D9397D" w:rsidP="00AA42D7">
            <w:pPr>
              <w:rPr>
                <w:rFonts w:ascii="Arial" w:hAnsi="Arial" w:cs="Arial"/>
              </w:rPr>
            </w:pPr>
            <w:r>
              <w:rPr>
                <w:rFonts w:ascii="Arial" w:hAnsi="Arial" w:cs="Arial"/>
              </w:rPr>
              <w:t>Tom Bridgman, Exec</w:t>
            </w:r>
            <w:r w:rsidR="00F06B4C">
              <w:rPr>
                <w:rFonts w:ascii="Arial" w:hAnsi="Arial" w:cs="Arial"/>
              </w:rPr>
              <w:t xml:space="preserve">utive Director </w:t>
            </w:r>
            <w:r>
              <w:rPr>
                <w:rFonts w:ascii="Arial" w:hAnsi="Arial" w:cs="Arial"/>
              </w:rPr>
              <w:t>Development</w:t>
            </w:r>
          </w:p>
        </w:tc>
      </w:tr>
      <w:tr w:rsidR="006F6326" w14:paraId="4EC0C0FE" w14:textId="77777777" w:rsidTr="00E97024">
        <w:tc>
          <w:tcPr>
            <w:tcW w:w="3715" w:type="dxa"/>
          </w:tcPr>
          <w:p w14:paraId="1D0334FE" w14:textId="0E71674E" w:rsidR="006F6326" w:rsidRDefault="006F6326" w:rsidP="00875E27">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1F14AB0C" w14:textId="77777777" w:rsidR="00D9397D" w:rsidRDefault="00F506B3" w:rsidP="001E655C">
            <w:pPr>
              <w:rPr>
                <w:rFonts w:ascii="Arial" w:hAnsi="Arial" w:cs="Arial"/>
              </w:rPr>
            </w:pPr>
            <w:r>
              <w:rPr>
                <w:rFonts w:ascii="Arial" w:hAnsi="Arial" w:cs="Arial"/>
              </w:rPr>
              <w:t>The alternative option</w:t>
            </w:r>
            <w:r w:rsidR="00D9397D">
              <w:rPr>
                <w:rFonts w:ascii="Arial" w:hAnsi="Arial" w:cs="Arial"/>
              </w:rPr>
              <w:t xml:space="preserve">s considered were: </w:t>
            </w:r>
          </w:p>
          <w:p w14:paraId="76F2BCBA" w14:textId="77777777" w:rsidR="00D9397D" w:rsidRDefault="00D9397D" w:rsidP="001E655C">
            <w:pPr>
              <w:rPr>
                <w:rFonts w:ascii="Arial" w:hAnsi="Arial" w:cs="Arial"/>
              </w:rPr>
            </w:pPr>
          </w:p>
          <w:p w14:paraId="593F35D0" w14:textId="77777777" w:rsidR="00D9397D" w:rsidRDefault="00D9397D" w:rsidP="006E3B71">
            <w:pPr>
              <w:pStyle w:val="ListParagraph"/>
              <w:numPr>
                <w:ilvl w:val="0"/>
                <w:numId w:val="8"/>
              </w:numPr>
              <w:rPr>
                <w:rFonts w:ascii="Arial" w:hAnsi="Arial" w:cs="Arial"/>
              </w:rPr>
            </w:pPr>
            <w:r>
              <w:rPr>
                <w:rFonts w:ascii="Arial" w:hAnsi="Arial" w:cs="Arial"/>
              </w:rPr>
              <w:t>T</w:t>
            </w:r>
            <w:r w:rsidRPr="006E3B71">
              <w:rPr>
                <w:rFonts w:ascii="Arial" w:hAnsi="Arial" w:cs="Arial"/>
              </w:rPr>
              <w:t xml:space="preserve">he City Council customer service centre remaining at St Aldates Chambers. This does not provide the opportunities from colocation, nor the flexibility for the Council in relation the use of its own office accommodation. </w:t>
            </w:r>
          </w:p>
          <w:p w14:paraId="69004B58" w14:textId="77777777" w:rsidR="00D9397D" w:rsidRDefault="00D9397D" w:rsidP="006E3B71">
            <w:pPr>
              <w:pStyle w:val="ListParagraph"/>
              <w:rPr>
                <w:rFonts w:ascii="Arial" w:hAnsi="Arial" w:cs="Arial"/>
              </w:rPr>
            </w:pPr>
          </w:p>
          <w:p w14:paraId="4B57668E" w14:textId="77777777" w:rsidR="00D9397D" w:rsidRDefault="00D9397D" w:rsidP="006E3B71">
            <w:pPr>
              <w:pStyle w:val="ListParagraph"/>
              <w:numPr>
                <w:ilvl w:val="0"/>
                <w:numId w:val="8"/>
              </w:numPr>
              <w:rPr>
                <w:rFonts w:ascii="Arial" w:hAnsi="Arial" w:cs="Arial"/>
              </w:rPr>
            </w:pPr>
            <w:r>
              <w:rPr>
                <w:rFonts w:ascii="Arial" w:hAnsi="Arial" w:cs="Arial"/>
              </w:rPr>
              <w:t xml:space="preserve">The City Council customer service centre moves to </w:t>
            </w:r>
            <w:r w:rsidR="00F506B3" w:rsidRPr="006E3B71">
              <w:rPr>
                <w:rFonts w:ascii="Arial" w:hAnsi="Arial" w:cs="Arial"/>
              </w:rPr>
              <w:t xml:space="preserve">the </w:t>
            </w:r>
            <w:r w:rsidR="001E655C" w:rsidRPr="006E3B71">
              <w:rPr>
                <w:rFonts w:ascii="Arial" w:hAnsi="Arial" w:cs="Arial"/>
              </w:rPr>
              <w:t>Town H</w:t>
            </w:r>
            <w:r w:rsidR="00F506B3" w:rsidRPr="006E3B71">
              <w:rPr>
                <w:rFonts w:ascii="Arial" w:hAnsi="Arial" w:cs="Arial"/>
              </w:rPr>
              <w:t xml:space="preserve">all. </w:t>
            </w:r>
            <w:r>
              <w:rPr>
                <w:rFonts w:ascii="Arial" w:hAnsi="Arial" w:cs="Arial"/>
              </w:rPr>
              <w:t xml:space="preserve">This also does not provide the colocation benefits. However, does remain an option should the pilot not work and the current ground floor space at St Aldates Chambers is required for another use. The detailed design and planning for this option will continue as a Plan B. </w:t>
            </w:r>
          </w:p>
          <w:p w14:paraId="73062B87" w14:textId="77777777" w:rsidR="00263039" w:rsidRPr="006E3B71" w:rsidRDefault="00263039" w:rsidP="006E3B71">
            <w:pPr>
              <w:pStyle w:val="ListParagraph"/>
              <w:rPr>
                <w:rFonts w:ascii="Arial" w:hAnsi="Arial" w:cs="Arial"/>
              </w:rPr>
            </w:pPr>
          </w:p>
        </w:tc>
      </w:tr>
      <w:tr w:rsidR="006F6326" w14:paraId="6576F647" w14:textId="77777777" w:rsidTr="00E97024">
        <w:trPr>
          <w:trHeight w:val="1018"/>
        </w:trPr>
        <w:tc>
          <w:tcPr>
            <w:tcW w:w="3715" w:type="dxa"/>
          </w:tcPr>
          <w:p w14:paraId="53B8C04A" w14:textId="2F94D87B" w:rsidR="00C678ED" w:rsidRPr="00C678ED" w:rsidRDefault="006F6326" w:rsidP="00875E27">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71B5C5ED" w14:textId="77777777" w:rsidR="006F6326" w:rsidRPr="00A96C08" w:rsidRDefault="00D9397D" w:rsidP="00D9397D">
            <w:pPr>
              <w:rPr>
                <w:rFonts w:ascii="Arial" w:hAnsi="Arial" w:cs="Arial"/>
              </w:rPr>
            </w:pPr>
            <w:r>
              <w:rPr>
                <w:rFonts w:ascii="Arial" w:hAnsi="Arial" w:cs="Arial"/>
              </w:rPr>
              <w:t>The a</w:t>
            </w:r>
            <w:r w:rsidR="00701F9D">
              <w:rPr>
                <w:rFonts w:ascii="Arial" w:hAnsi="Arial" w:cs="Arial"/>
              </w:rPr>
              <w:t xml:space="preserve">ttached paper </w:t>
            </w:r>
            <w:r w:rsidR="006E3B71">
              <w:rPr>
                <w:rFonts w:ascii="Arial" w:hAnsi="Arial" w:cs="Arial"/>
              </w:rPr>
              <w:t xml:space="preserve">is </w:t>
            </w:r>
            <w:r w:rsidR="00AA42D7">
              <w:rPr>
                <w:rFonts w:ascii="Arial" w:hAnsi="Arial" w:cs="Arial"/>
              </w:rPr>
              <w:t>exempt</w:t>
            </w:r>
            <w:r w:rsidR="00D17A31">
              <w:rPr>
                <w:rFonts w:ascii="Arial" w:hAnsi="Arial" w:cs="Arial"/>
              </w:rPr>
              <w:t xml:space="preserve"> due to commercially sensitive information for Oxfordshire County Council</w:t>
            </w:r>
          </w:p>
        </w:tc>
      </w:tr>
      <w:tr w:rsidR="006F6326" w14:paraId="1D78840D" w14:textId="77777777" w:rsidTr="00E97024">
        <w:tc>
          <w:tcPr>
            <w:tcW w:w="3715" w:type="dxa"/>
          </w:tcPr>
          <w:p w14:paraId="1FD2F243" w14:textId="7C41A28C" w:rsidR="003505E0" w:rsidRDefault="003505E0" w:rsidP="00875E27">
            <w:pPr>
              <w:spacing w:before="120" w:after="120"/>
              <w:rPr>
                <w:rFonts w:ascii="Arial" w:hAnsi="Arial" w:cs="Arial"/>
                <w:b/>
              </w:rPr>
            </w:pPr>
            <w:r w:rsidRPr="00D17A31">
              <w:rPr>
                <w:rFonts w:ascii="Arial" w:hAnsi="Arial" w:cs="Arial"/>
                <w:b/>
              </w:rPr>
              <w:t>Key or Not Key</w:t>
            </w:r>
            <w:r w:rsidR="00AC5899" w:rsidRPr="00D17A31">
              <w:rPr>
                <w:rFonts w:ascii="Arial" w:hAnsi="Arial" w:cs="Arial"/>
                <w:b/>
              </w:rPr>
              <w:t>:</w:t>
            </w:r>
          </w:p>
        </w:tc>
        <w:tc>
          <w:tcPr>
            <w:tcW w:w="6209" w:type="dxa"/>
          </w:tcPr>
          <w:p w14:paraId="7AA4C077" w14:textId="77777777" w:rsidR="006F6326" w:rsidRPr="00A96C08" w:rsidRDefault="00701F9D" w:rsidP="008A22C6">
            <w:pPr>
              <w:rPr>
                <w:rFonts w:ascii="Arial" w:hAnsi="Arial" w:cs="Arial"/>
              </w:rPr>
            </w:pPr>
            <w:r>
              <w:rPr>
                <w:rFonts w:ascii="Arial" w:hAnsi="Arial" w:cs="Arial"/>
              </w:rPr>
              <w:t>Not key</w:t>
            </w:r>
          </w:p>
        </w:tc>
      </w:tr>
      <w:tr w:rsidR="006F6326" w14:paraId="6DE1999D" w14:textId="77777777" w:rsidTr="00E97024">
        <w:tc>
          <w:tcPr>
            <w:tcW w:w="3715" w:type="dxa"/>
          </w:tcPr>
          <w:p w14:paraId="336EB313" w14:textId="7D05DA14" w:rsidR="006F6326" w:rsidRPr="008E4629" w:rsidRDefault="006F6326" w:rsidP="00875E27">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14:paraId="38D8BD44" w14:textId="77777777" w:rsidR="006F6326" w:rsidRPr="00A96C08" w:rsidRDefault="007C0B2B" w:rsidP="008A22C6">
            <w:pPr>
              <w:rPr>
                <w:rFonts w:ascii="Arial" w:hAnsi="Arial" w:cs="Arial"/>
              </w:rPr>
            </w:pPr>
            <w:r>
              <w:rPr>
                <w:rFonts w:ascii="Arial" w:hAnsi="Arial" w:cs="Arial"/>
              </w:rPr>
              <w:t>None</w:t>
            </w:r>
          </w:p>
        </w:tc>
      </w:tr>
      <w:tr w:rsidR="006F6326" w14:paraId="5A46EF29" w14:textId="77777777" w:rsidTr="00E97024">
        <w:tc>
          <w:tcPr>
            <w:tcW w:w="3715" w:type="dxa"/>
          </w:tcPr>
          <w:p w14:paraId="02CF19EB" w14:textId="648C2FF8" w:rsidR="006F6326" w:rsidRPr="006F6326" w:rsidRDefault="006F6326" w:rsidP="00875E27">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5E2205D7" w14:textId="77777777" w:rsidR="006F6326" w:rsidRPr="00A96C08" w:rsidRDefault="001E655C" w:rsidP="008A22C6">
            <w:pPr>
              <w:rPr>
                <w:rFonts w:ascii="Arial" w:hAnsi="Arial" w:cs="Arial"/>
              </w:rPr>
            </w:pPr>
            <w:r>
              <w:rPr>
                <w:rFonts w:ascii="Arial" w:hAnsi="Arial" w:cs="Arial"/>
              </w:rPr>
              <w:t>None known</w:t>
            </w:r>
          </w:p>
        </w:tc>
      </w:tr>
      <w:tr w:rsidR="00B87695" w14:paraId="4847DA83" w14:textId="77777777" w:rsidTr="00E97024">
        <w:tc>
          <w:tcPr>
            <w:tcW w:w="3715" w:type="dxa"/>
          </w:tcPr>
          <w:p w14:paraId="6E51D182"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53DF4B5B" w14:textId="77777777" w:rsidR="003505E0" w:rsidRDefault="003505E0" w:rsidP="003505E0">
            <w:pPr>
              <w:spacing w:before="120"/>
              <w:rPr>
                <w:rFonts w:ascii="Arial" w:hAnsi="Arial" w:cs="Arial"/>
                <w:b/>
              </w:rPr>
            </w:pPr>
            <w:r w:rsidRPr="003505E0">
              <w:rPr>
                <w:rFonts w:ascii="Arial" w:hAnsi="Arial" w:cs="Arial"/>
                <w:b/>
              </w:rPr>
              <w:t>Name &amp; title:</w:t>
            </w:r>
          </w:p>
          <w:p w14:paraId="385AC7E3"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0DB3238A" w14:textId="49077360" w:rsidR="00960744" w:rsidRDefault="00F06B4C" w:rsidP="008A22C6">
            <w:pPr>
              <w:rPr>
                <w:rFonts w:ascii="Arial" w:hAnsi="Arial" w:cs="Arial"/>
              </w:rPr>
            </w:pPr>
            <w:r>
              <w:rPr>
                <w:rFonts w:ascii="Arial" w:hAnsi="Arial" w:cs="Arial"/>
              </w:rPr>
              <w:t>Michelle Iddon,</w:t>
            </w:r>
            <w:r w:rsidR="00701F9D">
              <w:rPr>
                <w:rFonts w:ascii="Arial" w:hAnsi="Arial" w:cs="Arial"/>
              </w:rPr>
              <w:t xml:space="preserve"> Customer Services Manager</w:t>
            </w:r>
          </w:p>
          <w:p w14:paraId="2C6710F8" w14:textId="77777777" w:rsidR="00701F9D" w:rsidRDefault="00701F9D" w:rsidP="008A22C6">
            <w:pPr>
              <w:rPr>
                <w:rFonts w:ascii="Arial" w:hAnsi="Arial" w:cs="Arial"/>
              </w:rPr>
            </w:pPr>
          </w:p>
          <w:p w14:paraId="71191CED" w14:textId="77777777" w:rsidR="00875E27" w:rsidRDefault="00875E27" w:rsidP="008A22C6">
            <w:pPr>
              <w:rPr>
                <w:rFonts w:ascii="Arial" w:hAnsi="Arial" w:cs="Arial"/>
              </w:rPr>
            </w:pPr>
          </w:p>
          <w:p w14:paraId="0902B78A" w14:textId="77777777" w:rsidR="00701F9D" w:rsidRPr="00A96C08" w:rsidRDefault="00701F9D" w:rsidP="008A22C6">
            <w:pPr>
              <w:rPr>
                <w:rFonts w:ascii="Arial" w:hAnsi="Arial" w:cs="Arial"/>
              </w:rPr>
            </w:pPr>
            <w:r>
              <w:rPr>
                <w:rFonts w:ascii="Arial" w:hAnsi="Arial" w:cs="Arial"/>
              </w:rPr>
              <w:t>11/01/22</w:t>
            </w:r>
          </w:p>
        </w:tc>
      </w:tr>
    </w:tbl>
    <w:p w14:paraId="0796A1F8" w14:textId="77777777" w:rsidR="002611EB" w:rsidRDefault="002611EB" w:rsidP="008A22C6"/>
    <w:p w14:paraId="38D05A6C" w14:textId="77777777" w:rsidR="005C60B2" w:rsidRDefault="005C60B2" w:rsidP="008A22C6"/>
    <w:p w14:paraId="2C29A4F9"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54AA9FB9"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71730031" w14:textId="77777777" w:rsidTr="00FA34FE">
        <w:trPr>
          <w:trHeight w:val="516"/>
        </w:trPr>
        <w:tc>
          <w:tcPr>
            <w:tcW w:w="2836" w:type="dxa"/>
          </w:tcPr>
          <w:p w14:paraId="30BE700C"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14DD4F28"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0932805C"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190EDDF8" w14:textId="77777777" w:rsidTr="00FA34FE">
        <w:trPr>
          <w:trHeight w:val="516"/>
        </w:trPr>
        <w:tc>
          <w:tcPr>
            <w:tcW w:w="2836" w:type="dxa"/>
            <w:vAlign w:val="center"/>
          </w:tcPr>
          <w:p w14:paraId="63DB4F89"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6F871ECC" w14:textId="3DE20A88" w:rsidR="005C60B2" w:rsidRPr="005C60B2" w:rsidRDefault="005C60B2" w:rsidP="005C60B2">
            <w:pPr>
              <w:spacing w:before="120" w:after="120"/>
              <w:rPr>
                <w:rFonts w:ascii="Arial" w:hAnsi="Arial" w:cs="Arial"/>
              </w:rPr>
            </w:pPr>
          </w:p>
        </w:tc>
        <w:tc>
          <w:tcPr>
            <w:tcW w:w="5103" w:type="dxa"/>
            <w:vAlign w:val="center"/>
          </w:tcPr>
          <w:p w14:paraId="18EE9E2B" w14:textId="77777777" w:rsidR="005C60B2" w:rsidRDefault="006E3B71" w:rsidP="001E0268">
            <w:pPr>
              <w:rPr>
                <w:rFonts w:ascii="Arial" w:hAnsi="Arial" w:cs="Arial"/>
              </w:rPr>
            </w:pPr>
            <w:r>
              <w:rPr>
                <w:rFonts w:ascii="Arial" w:hAnsi="Arial" w:cs="Arial"/>
              </w:rPr>
              <w:t>Tom Bridgman, Exec</w:t>
            </w:r>
            <w:r w:rsidR="00F06B4C">
              <w:rPr>
                <w:rFonts w:ascii="Arial" w:hAnsi="Arial" w:cs="Arial"/>
              </w:rPr>
              <w:t xml:space="preserve">utive Director </w:t>
            </w:r>
            <w:r>
              <w:rPr>
                <w:rFonts w:ascii="Arial" w:hAnsi="Arial" w:cs="Arial"/>
              </w:rPr>
              <w:t xml:space="preserve"> Development</w:t>
            </w:r>
          </w:p>
          <w:p w14:paraId="2DB564C2" w14:textId="153685C8" w:rsidR="00F06B4C" w:rsidRPr="005C60B2" w:rsidRDefault="00F06B4C" w:rsidP="001E0268">
            <w:pPr>
              <w:rPr>
                <w:rFonts w:ascii="Arial" w:hAnsi="Arial" w:cs="Arial"/>
              </w:rPr>
            </w:pPr>
            <w:r w:rsidRPr="004D63E5">
              <w:rPr>
                <w:rFonts w:ascii="Arial" w:hAnsi="Arial" w:cs="Arial"/>
                <w:noProof/>
              </w:rPr>
              <w:drawing>
                <wp:inline distT="0" distB="0" distL="0" distR="0" wp14:anchorId="67B6F8EF" wp14:editId="7178DA43">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3302" cy="853514"/>
                          </a:xfrm>
                          <a:prstGeom prst="rect">
                            <a:avLst/>
                          </a:prstGeom>
                        </pic:spPr>
                      </pic:pic>
                    </a:graphicData>
                  </a:graphic>
                </wp:inline>
              </w:drawing>
            </w:r>
          </w:p>
        </w:tc>
        <w:tc>
          <w:tcPr>
            <w:tcW w:w="1984" w:type="dxa"/>
            <w:vAlign w:val="center"/>
          </w:tcPr>
          <w:p w14:paraId="22E728A4" w14:textId="77777777" w:rsidR="005C60B2" w:rsidRPr="005C60B2" w:rsidRDefault="006E3B71" w:rsidP="005C60B2">
            <w:pPr>
              <w:rPr>
                <w:rFonts w:ascii="Arial" w:hAnsi="Arial" w:cs="Arial"/>
              </w:rPr>
            </w:pPr>
            <w:r>
              <w:rPr>
                <w:rFonts w:ascii="Arial" w:hAnsi="Arial" w:cs="Arial"/>
              </w:rPr>
              <w:t>14/01/22</w:t>
            </w:r>
          </w:p>
        </w:tc>
      </w:tr>
    </w:tbl>
    <w:p w14:paraId="6A662405" w14:textId="5EA568A9" w:rsidR="00F06B4C" w:rsidRDefault="00F06B4C" w:rsidP="005C60B2">
      <w:pPr>
        <w:rPr>
          <w:rFonts w:ascii="Arial" w:hAnsi="Arial" w:cs="Arial"/>
        </w:rPr>
      </w:pPr>
    </w:p>
    <w:p w14:paraId="0AAD0C9D" w14:textId="77777777" w:rsidR="00F06B4C" w:rsidRDefault="00F06B4C">
      <w:pPr>
        <w:rPr>
          <w:rFonts w:ascii="Arial" w:hAnsi="Arial" w:cs="Arial"/>
        </w:rPr>
      </w:pPr>
      <w:r>
        <w:rPr>
          <w:rFonts w:ascii="Arial" w:hAnsi="Arial" w:cs="Arial"/>
        </w:rPr>
        <w:br w:type="page"/>
      </w:r>
    </w:p>
    <w:p w14:paraId="54D731FC" w14:textId="77777777" w:rsidR="005C60B2" w:rsidRPr="005C60B2" w:rsidRDefault="005C60B2" w:rsidP="005C60B2">
      <w:pPr>
        <w:rPr>
          <w:rFonts w:ascii="Arial" w:hAnsi="Arial" w:cs="Arial"/>
        </w:rPr>
      </w:pPr>
    </w:p>
    <w:p w14:paraId="6B80C51B" w14:textId="77777777" w:rsidR="005C60B2" w:rsidRPr="005C60B2" w:rsidRDefault="005C60B2" w:rsidP="005C60B2">
      <w:pPr>
        <w:rPr>
          <w:rFonts w:ascii="Arial" w:hAnsi="Arial" w:cs="Arial"/>
          <w:b/>
        </w:rPr>
      </w:pPr>
      <w:r w:rsidRPr="005C60B2">
        <w:rPr>
          <w:rFonts w:ascii="Arial" w:hAnsi="Arial" w:cs="Arial"/>
          <w:b/>
        </w:rPr>
        <w:t>Consultee checklist</w:t>
      </w:r>
    </w:p>
    <w:p w14:paraId="46168F39"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B883775" w14:textId="77777777" w:rsidTr="005C60B2">
        <w:trPr>
          <w:trHeight w:val="516"/>
        </w:trPr>
        <w:tc>
          <w:tcPr>
            <w:tcW w:w="3403" w:type="dxa"/>
          </w:tcPr>
          <w:p w14:paraId="6A8165A1"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0124CF39"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7C2E693D"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76395CBE" w14:textId="77777777" w:rsidTr="005C60B2">
        <w:trPr>
          <w:trHeight w:val="516"/>
        </w:trPr>
        <w:tc>
          <w:tcPr>
            <w:tcW w:w="3403" w:type="dxa"/>
            <w:vAlign w:val="center"/>
          </w:tcPr>
          <w:p w14:paraId="53C450E7" w14:textId="77777777" w:rsidR="005C60B2" w:rsidRDefault="005C60B2" w:rsidP="005C60B2">
            <w:pPr>
              <w:spacing w:before="120" w:after="120"/>
              <w:rPr>
                <w:rFonts w:ascii="Arial" w:hAnsi="Arial" w:cs="Arial"/>
                <w:b/>
              </w:rPr>
            </w:pPr>
            <w:r w:rsidRPr="005C60B2">
              <w:rPr>
                <w:rFonts w:ascii="Arial" w:hAnsi="Arial" w:cs="Arial"/>
                <w:b/>
              </w:rPr>
              <w:t>Senior officer</w:t>
            </w:r>
          </w:p>
          <w:p w14:paraId="2D60A01C" w14:textId="209AA50A" w:rsidR="005C60B2" w:rsidRPr="005C60B2" w:rsidRDefault="005C60B2" w:rsidP="005C60B2">
            <w:pPr>
              <w:spacing w:before="120" w:after="120"/>
              <w:rPr>
                <w:rFonts w:ascii="Arial" w:hAnsi="Arial" w:cs="Arial"/>
              </w:rPr>
            </w:pPr>
          </w:p>
        </w:tc>
        <w:tc>
          <w:tcPr>
            <w:tcW w:w="4536" w:type="dxa"/>
            <w:vAlign w:val="center"/>
          </w:tcPr>
          <w:p w14:paraId="6EEB251D" w14:textId="63D4D0C0" w:rsidR="001E0268" w:rsidRDefault="006E3B71" w:rsidP="005C60B2">
            <w:pPr>
              <w:rPr>
                <w:rFonts w:ascii="Arial" w:hAnsi="Arial" w:cs="Arial"/>
              </w:rPr>
            </w:pPr>
            <w:r>
              <w:rPr>
                <w:rFonts w:ascii="Arial" w:hAnsi="Arial" w:cs="Arial"/>
              </w:rPr>
              <w:t>Helen Bishop</w:t>
            </w:r>
            <w:r w:rsidR="00F06B4C">
              <w:rPr>
                <w:rFonts w:ascii="Arial" w:hAnsi="Arial" w:cs="Arial"/>
              </w:rPr>
              <w:t>, Head of Business Improvement</w:t>
            </w:r>
          </w:p>
          <w:p w14:paraId="4DFBCCA9" w14:textId="77777777" w:rsidR="001E0268" w:rsidRPr="00AA42D7" w:rsidRDefault="001E0268" w:rsidP="005C60B2">
            <w:pPr>
              <w:rPr>
                <w:rFonts w:ascii="Arial" w:hAnsi="Arial" w:cs="Arial"/>
                <w:highlight w:val="yellow"/>
              </w:rPr>
            </w:pPr>
          </w:p>
        </w:tc>
        <w:tc>
          <w:tcPr>
            <w:tcW w:w="1984" w:type="dxa"/>
            <w:vAlign w:val="center"/>
          </w:tcPr>
          <w:p w14:paraId="4FE74470" w14:textId="06DA67A1" w:rsidR="005C60B2" w:rsidRPr="005C60B2" w:rsidRDefault="00F06B4C" w:rsidP="005C60B2">
            <w:pPr>
              <w:rPr>
                <w:rFonts w:ascii="Arial" w:hAnsi="Arial" w:cs="Arial"/>
              </w:rPr>
            </w:pPr>
            <w:r>
              <w:rPr>
                <w:rFonts w:ascii="Arial" w:hAnsi="Arial" w:cs="Arial"/>
              </w:rPr>
              <w:t>10 January 2022</w:t>
            </w:r>
          </w:p>
        </w:tc>
      </w:tr>
      <w:tr w:rsidR="005C60B2" w:rsidRPr="005C60B2" w14:paraId="7F32356B" w14:textId="77777777" w:rsidTr="005C60B2">
        <w:trPr>
          <w:trHeight w:val="1161"/>
        </w:trPr>
        <w:tc>
          <w:tcPr>
            <w:tcW w:w="3403" w:type="dxa"/>
          </w:tcPr>
          <w:p w14:paraId="11A7DFFC" w14:textId="77777777" w:rsidR="005C60B2" w:rsidRDefault="005C60B2" w:rsidP="005C60B2">
            <w:pPr>
              <w:spacing w:before="120"/>
              <w:rPr>
                <w:rFonts w:ascii="Arial" w:hAnsi="Arial" w:cs="Arial"/>
                <w:b/>
              </w:rPr>
            </w:pPr>
            <w:r w:rsidRPr="005C60B2">
              <w:rPr>
                <w:rFonts w:ascii="Arial" w:hAnsi="Arial" w:cs="Arial"/>
                <w:b/>
              </w:rPr>
              <w:t>Head of Financial Services</w:t>
            </w:r>
          </w:p>
          <w:p w14:paraId="70487CDE" w14:textId="67BA23CF" w:rsidR="005C60B2" w:rsidRPr="005C60B2" w:rsidRDefault="005C60B2" w:rsidP="005C60B2">
            <w:pPr>
              <w:spacing w:before="120"/>
              <w:rPr>
                <w:rFonts w:ascii="Arial" w:hAnsi="Arial" w:cs="Arial"/>
              </w:rPr>
            </w:pPr>
          </w:p>
        </w:tc>
        <w:tc>
          <w:tcPr>
            <w:tcW w:w="4536" w:type="dxa"/>
            <w:vAlign w:val="center"/>
          </w:tcPr>
          <w:p w14:paraId="10B08AE4" w14:textId="77777777" w:rsidR="005C60B2" w:rsidRDefault="007C0B2B" w:rsidP="005C60B2">
            <w:pPr>
              <w:rPr>
                <w:rFonts w:ascii="Arial" w:hAnsi="Arial" w:cs="Arial"/>
              </w:rPr>
            </w:pPr>
            <w:r>
              <w:rPr>
                <w:rFonts w:ascii="Arial" w:hAnsi="Arial" w:cs="Arial"/>
              </w:rPr>
              <w:t>Nigel Kennedy</w:t>
            </w:r>
          </w:p>
          <w:p w14:paraId="5FCD1608" w14:textId="77777777" w:rsidR="00F06B4C" w:rsidRDefault="00F06B4C" w:rsidP="005C60B2">
            <w:pPr>
              <w:rPr>
                <w:rFonts w:ascii="Arial" w:hAnsi="Arial" w:cs="Arial"/>
              </w:rPr>
            </w:pPr>
          </w:p>
          <w:p w14:paraId="27EB44F0" w14:textId="213A5017" w:rsidR="00F06B4C" w:rsidRPr="005C60B2" w:rsidRDefault="00F06B4C" w:rsidP="005C60B2">
            <w:pPr>
              <w:rPr>
                <w:rFonts w:ascii="Arial" w:hAnsi="Arial" w:cs="Arial"/>
              </w:rPr>
            </w:pPr>
            <w:r w:rsidRPr="00EA6048">
              <w:rPr>
                <w:noProof/>
              </w:rPr>
              <w:drawing>
                <wp:inline distT="0" distB="0" distL="0" distR="0" wp14:anchorId="551F33A8" wp14:editId="290DA1CE">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7C0816F" w14:textId="4F95CB1B" w:rsidR="005C60B2" w:rsidRPr="005C60B2" w:rsidRDefault="00F06B4C" w:rsidP="005C60B2">
            <w:pPr>
              <w:rPr>
                <w:rFonts w:ascii="Arial" w:hAnsi="Arial" w:cs="Arial"/>
              </w:rPr>
            </w:pPr>
            <w:r>
              <w:rPr>
                <w:rFonts w:ascii="Arial" w:hAnsi="Arial" w:cs="Arial"/>
              </w:rPr>
              <w:t>10 January 2022</w:t>
            </w:r>
          </w:p>
        </w:tc>
      </w:tr>
      <w:tr w:rsidR="005C60B2" w:rsidRPr="005C60B2" w14:paraId="79C0FECA" w14:textId="77777777" w:rsidTr="005C60B2">
        <w:trPr>
          <w:trHeight w:val="834"/>
        </w:trPr>
        <w:tc>
          <w:tcPr>
            <w:tcW w:w="3403" w:type="dxa"/>
          </w:tcPr>
          <w:p w14:paraId="44384F9E"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3F534314" w14:textId="6AFC985C" w:rsidR="005C60B2" w:rsidRPr="005C60B2" w:rsidRDefault="005C60B2" w:rsidP="005C60B2">
            <w:pPr>
              <w:spacing w:before="120" w:after="120"/>
              <w:rPr>
                <w:rFonts w:ascii="Arial" w:hAnsi="Arial" w:cs="Arial"/>
              </w:rPr>
            </w:pPr>
          </w:p>
        </w:tc>
        <w:tc>
          <w:tcPr>
            <w:tcW w:w="4536" w:type="dxa"/>
            <w:vAlign w:val="center"/>
          </w:tcPr>
          <w:p w14:paraId="5352EC0B" w14:textId="007177FD" w:rsidR="00F06B4C" w:rsidRDefault="007C0B2B" w:rsidP="005C60B2">
            <w:pPr>
              <w:rPr>
                <w:rFonts w:ascii="Arial" w:hAnsi="Arial" w:cs="Arial"/>
              </w:rPr>
            </w:pPr>
            <w:r>
              <w:rPr>
                <w:rFonts w:ascii="Arial" w:hAnsi="Arial" w:cs="Arial"/>
              </w:rPr>
              <w:t>Susan Sale</w:t>
            </w:r>
            <w:bookmarkStart w:id="0" w:name="_GoBack"/>
            <w:bookmarkEnd w:id="0"/>
          </w:p>
          <w:p w14:paraId="78413892" w14:textId="2F3638C4" w:rsidR="00F06B4C" w:rsidRPr="005C60B2" w:rsidRDefault="00F06B4C" w:rsidP="005C60B2">
            <w:pPr>
              <w:rPr>
                <w:rFonts w:ascii="Arial" w:hAnsi="Arial" w:cs="Arial"/>
              </w:rPr>
            </w:pPr>
            <w:r w:rsidRPr="00C64101">
              <w:rPr>
                <w:noProof/>
              </w:rPr>
              <w:drawing>
                <wp:inline distT="0" distB="0" distL="0" distR="0" wp14:anchorId="4E2C77B7" wp14:editId="1AF99062">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9924" cy="784928"/>
                          </a:xfrm>
                          <a:prstGeom prst="rect">
                            <a:avLst/>
                          </a:prstGeom>
                        </pic:spPr>
                      </pic:pic>
                    </a:graphicData>
                  </a:graphic>
                </wp:inline>
              </w:drawing>
            </w:r>
          </w:p>
        </w:tc>
        <w:tc>
          <w:tcPr>
            <w:tcW w:w="1984" w:type="dxa"/>
          </w:tcPr>
          <w:p w14:paraId="56E08B6A" w14:textId="77777777" w:rsidR="00F06B4C" w:rsidRDefault="00F06B4C" w:rsidP="005C60B2">
            <w:pPr>
              <w:rPr>
                <w:rFonts w:ascii="Arial" w:hAnsi="Arial" w:cs="Arial"/>
              </w:rPr>
            </w:pPr>
          </w:p>
          <w:p w14:paraId="79241EDD" w14:textId="38C0C8B5" w:rsidR="005C60B2" w:rsidRPr="005C60B2" w:rsidRDefault="00F06B4C" w:rsidP="005C60B2">
            <w:pPr>
              <w:rPr>
                <w:rFonts w:ascii="Arial" w:hAnsi="Arial" w:cs="Arial"/>
              </w:rPr>
            </w:pPr>
            <w:r>
              <w:rPr>
                <w:rFonts w:ascii="Arial" w:hAnsi="Arial" w:cs="Arial"/>
              </w:rPr>
              <w:t>10 January 2022</w:t>
            </w:r>
          </w:p>
        </w:tc>
      </w:tr>
      <w:tr w:rsidR="005C60B2" w:rsidRPr="005C60B2" w14:paraId="2F68F323" w14:textId="77777777" w:rsidTr="005C60B2">
        <w:trPr>
          <w:trHeight w:val="562"/>
        </w:trPr>
        <w:tc>
          <w:tcPr>
            <w:tcW w:w="3403" w:type="dxa"/>
            <w:vAlign w:val="center"/>
          </w:tcPr>
          <w:p w14:paraId="7BFB8AFB" w14:textId="77777777" w:rsidR="005C60B2" w:rsidRDefault="005C60B2" w:rsidP="005C60B2">
            <w:pPr>
              <w:spacing w:before="120" w:after="120"/>
              <w:rPr>
                <w:rFonts w:ascii="Arial" w:hAnsi="Arial" w:cs="Arial"/>
                <w:b/>
              </w:rPr>
            </w:pPr>
            <w:r w:rsidRPr="005C60B2">
              <w:rPr>
                <w:rFonts w:ascii="Arial" w:hAnsi="Arial" w:cs="Arial"/>
                <w:b/>
              </w:rPr>
              <w:t>Cabinet Member(s)</w:t>
            </w:r>
          </w:p>
          <w:p w14:paraId="7C0FCC45" w14:textId="776DEB4B" w:rsidR="005C60B2" w:rsidRPr="005C60B2" w:rsidRDefault="005C60B2" w:rsidP="005C60B2">
            <w:pPr>
              <w:spacing w:before="120" w:after="120"/>
              <w:rPr>
                <w:rFonts w:ascii="Arial" w:hAnsi="Arial" w:cs="Arial"/>
              </w:rPr>
            </w:pPr>
          </w:p>
        </w:tc>
        <w:tc>
          <w:tcPr>
            <w:tcW w:w="4536" w:type="dxa"/>
            <w:vAlign w:val="center"/>
          </w:tcPr>
          <w:p w14:paraId="051C7479" w14:textId="77777777" w:rsidR="00FC6AC4" w:rsidRDefault="00FC6AC4" w:rsidP="00D17A31">
            <w:pPr>
              <w:rPr>
                <w:rFonts w:ascii="Arial" w:hAnsi="Arial" w:cs="Arial"/>
              </w:rPr>
            </w:pPr>
            <w:r>
              <w:rPr>
                <w:rFonts w:ascii="Arial" w:hAnsi="Arial" w:cs="Arial"/>
              </w:rPr>
              <w:t>Susan Brown – Leader of the Council</w:t>
            </w:r>
          </w:p>
          <w:p w14:paraId="0C262428" w14:textId="77777777" w:rsidR="005753EE" w:rsidRDefault="005753EE" w:rsidP="00D17A31">
            <w:pPr>
              <w:rPr>
                <w:rFonts w:ascii="Arial" w:hAnsi="Arial" w:cs="Arial"/>
              </w:rPr>
            </w:pPr>
          </w:p>
          <w:p w14:paraId="2FACEDBF" w14:textId="77777777" w:rsidR="00FC6AC4" w:rsidRDefault="00FC6AC4" w:rsidP="00D17A31">
            <w:pPr>
              <w:rPr>
                <w:rFonts w:ascii="Arial" w:hAnsi="Arial" w:cs="Arial"/>
              </w:rPr>
            </w:pPr>
            <w:r>
              <w:rPr>
                <w:rFonts w:ascii="Arial" w:hAnsi="Arial" w:cs="Arial"/>
              </w:rPr>
              <w:t>Ed Turner – Deputy Leader and Portfolio Holder for Finance &amp; Asset Management</w:t>
            </w:r>
          </w:p>
          <w:p w14:paraId="2E45C87B" w14:textId="77777777" w:rsidR="005753EE" w:rsidRDefault="005753EE" w:rsidP="00D17A31">
            <w:pPr>
              <w:rPr>
                <w:rFonts w:ascii="Arial" w:hAnsi="Arial" w:cs="Arial"/>
              </w:rPr>
            </w:pPr>
          </w:p>
          <w:p w14:paraId="18297D2C" w14:textId="77777777" w:rsidR="005C60B2" w:rsidRPr="005C60B2" w:rsidRDefault="00D17A31" w:rsidP="00D17A31">
            <w:pPr>
              <w:rPr>
                <w:rFonts w:ascii="Arial" w:hAnsi="Arial" w:cs="Arial"/>
              </w:rPr>
            </w:pPr>
            <w:r>
              <w:rPr>
                <w:rFonts w:ascii="Arial" w:hAnsi="Arial" w:cs="Arial"/>
              </w:rPr>
              <w:t xml:space="preserve">Mike Rowley </w:t>
            </w:r>
            <w:r w:rsidR="00FC6AC4">
              <w:rPr>
                <w:rFonts w:ascii="Arial" w:hAnsi="Arial" w:cs="Arial"/>
              </w:rPr>
              <w:t xml:space="preserve">– </w:t>
            </w:r>
            <w:r>
              <w:rPr>
                <w:rFonts w:ascii="Arial" w:hAnsi="Arial" w:cs="Arial"/>
              </w:rPr>
              <w:t xml:space="preserve">Portfolio Holder for Customer Services  </w:t>
            </w:r>
          </w:p>
        </w:tc>
        <w:tc>
          <w:tcPr>
            <w:tcW w:w="1984" w:type="dxa"/>
            <w:vAlign w:val="center"/>
          </w:tcPr>
          <w:p w14:paraId="0AB3D116" w14:textId="72547292" w:rsidR="005C60B2" w:rsidRPr="005C60B2" w:rsidRDefault="00F06B4C" w:rsidP="005C60B2">
            <w:pPr>
              <w:rPr>
                <w:rFonts w:ascii="Arial" w:hAnsi="Arial" w:cs="Arial"/>
              </w:rPr>
            </w:pPr>
            <w:r>
              <w:rPr>
                <w:rFonts w:ascii="Arial" w:hAnsi="Arial" w:cs="Arial"/>
              </w:rPr>
              <w:t>13 January 2022</w:t>
            </w:r>
          </w:p>
        </w:tc>
      </w:tr>
      <w:tr w:rsidR="005C60B2" w:rsidRPr="005C60B2" w14:paraId="2C4442C6" w14:textId="77777777" w:rsidTr="005C60B2">
        <w:trPr>
          <w:trHeight w:val="562"/>
        </w:trPr>
        <w:tc>
          <w:tcPr>
            <w:tcW w:w="3403" w:type="dxa"/>
            <w:vAlign w:val="center"/>
          </w:tcPr>
          <w:p w14:paraId="68445DC1" w14:textId="77777777" w:rsidR="005C60B2" w:rsidRDefault="005C60B2" w:rsidP="005C60B2">
            <w:pPr>
              <w:spacing w:before="120" w:after="120"/>
              <w:rPr>
                <w:rFonts w:ascii="Arial" w:hAnsi="Arial" w:cs="Arial"/>
                <w:b/>
              </w:rPr>
            </w:pPr>
            <w:r>
              <w:rPr>
                <w:rFonts w:ascii="Arial" w:hAnsi="Arial" w:cs="Arial"/>
                <w:b/>
              </w:rPr>
              <w:t>Ward Members</w:t>
            </w:r>
          </w:p>
          <w:p w14:paraId="21CD9F5D" w14:textId="4EE88F69" w:rsidR="005C60B2" w:rsidRPr="005C60B2" w:rsidRDefault="005C60B2" w:rsidP="005C60B2">
            <w:pPr>
              <w:spacing w:before="120" w:after="120"/>
              <w:rPr>
                <w:rFonts w:ascii="Arial" w:hAnsi="Arial" w:cs="Arial"/>
              </w:rPr>
            </w:pPr>
          </w:p>
        </w:tc>
        <w:tc>
          <w:tcPr>
            <w:tcW w:w="4536" w:type="dxa"/>
            <w:vAlign w:val="center"/>
          </w:tcPr>
          <w:p w14:paraId="68677BFD" w14:textId="77777777" w:rsidR="005C60B2" w:rsidRPr="005C60B2" w:rsidRDefault="00D17A31" w:rsidP="005C60B2">
            <w:pPr>
              <w:rPr>
                <w:rFonts w:ascii="Arial" w:hAnsi="Arial" w:cs="Arial"/>
              </w:rPr>
            </w:pPr>
            <w:r>
              <w:rPr>
                <w:rFonts w:ascii="Arial" w:hAnsi="Arial" w:cs="Arial"/>
              </w:rPr>
              <w:t>N/A</w:t>
            </w:r>
          </w:p>
        </w:tc>
        <w:tc>
          <w:tcPr>
            <w:tcW w:w="1984" w:type="dxa"/>
            <w:vAlign w:val="center"/>
          </w:tcPr>
          <w:p w14:paraId="650C8481" w14:textId="77777777" w:rsidR="005C60B2" w:rsidRPr="005C60B2" w:rsidRDefault="005C60B2" w:rsidP="005C60B2">
            <w:pPr>
              <w:rPr>
                <w:rFonts w:ascii="Arial" w:hAnsi="Arial" w:cs="Arial"/>
              </w:rPr>
            </w:pPr>
          </w:p>
        </w:tc>
      </w:tr>
    </w:tbl>
    <w:p w14:paraId="51C26DB6" w14:textId="77777777" w:rsidR="005C60B2" w:rsidRPr="005C60B2" w:rsidRDefault="005C60B2" w:rsidP="005C60B2">
      <w:pPr>
        <w:ind w:left="-426"/>
        <w:rPr>
          <w:rFonts w:ascii="Arial" w:hAnsi="Arial" w:cs="Arial"/>
        </w:rPr>
      </w:pPr>
    </w:p>
    <w:p w14:paraId="2AF7B968" w14:textId="77777777" w:rsidR="005C60B2" w:rsidRDefault="005C60B2" w:rsidP="002611EB">
      <w:pPr>
        <w:rPr>
          <w:rFonts w:ascii="Arial" w:hAnsi="Arial" w:cs="Arial"/>
          <w:b/>
        </w:rPr>
      </w:pPr>
    </w:p>
    <w:p w14:paraId="2400C778" w14:textId="336A50F5" w:rsidR="005C6416" w:rsidRPr="00B15340" w:rsidRDefault="005C6416" w:rsidP="005C6416">
      <w:pPr>
        <w:rPr>
          <w:rFonts w:ascii="Arial" w:hAnsi="Arial" w:cs="Arial"/>
        </w:rPr>
      </w:pPr>
    </w:p>
    <w:sectPr w:rsidR="005C6416" w:rsidRPr="00B15340" w:rsidSect="00532DF2">
      <w:footerReference w:type="default" r:id="rId11"/>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6331B" w14:textId="77777777" w:rsidR="00E7363B" w:rsidRDefault="00E7363B" w:rsidP="00F11FD1">
      <w:r>
        <w:separator/>
      </w:r>
    </w:p>
  </w:endnote>
  <w:endnote w:type="continuationSeparator" w:id="0">
    <w:p w14:paraId="532F0803" w14:textId="77777777" w:rsidR="00E7363B" w:rsidRDefault="00E7363B"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C2631"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95409" w14:textId="77777777" w:rsidR="00E7363B" w:rsidRDefault="00E7363B" w:rsidP="00F11FD1">
      <w:r>
        <w:separator/>
      </w:r>
    </w:p>
  </w:footnote>
  <w:footnote w:type="continuationSeparator" w:id="0">
    <w:p w14:paraId="48AC8F57" w14:textId="77777777" w:rsidR="00E7363B" w:rsidRDefault="00E7363B"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4361"/>
    <w:multiLevelType w:val="hybridMultilevel"/>
    <w:tmpl w:val="7292D702"/>
    <w:lvl w:ilvl="0" w:tplc="B4246D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2116E"/>
    <w:rsid w:val="000445D4"/>
    <w:rsid w:val="0005774E"/>
    <w:rsid w:val="0008133A"/>
    <w:rsid w:val="000B4310"/>
    <w:rsid w:val="000F4239"/>
    <w:rsid w:val="001109AB"/>
    <w:rsid w:val="001E0268"/>
    <w:rsid w:val="001E655C"/>
    <w:rsid w:val="001F5E81"/>
    <w:rsid w:val="00231385"/>
    <w:rsid w:val="002611EB"/>
    <w:rsid w:val="00263039"/>
    <w:rsid w:val="002A07C9"/>
    <w:rsid w:val="002B179A"/>
    <w:rsid w:val="002B53D4"/>
    <w:rsid w:val="002E61DD"/>
    <w:rsid w:val="00323DC1"/>
    <w:rsid w:val="00335A9B"/>
    <w:rsid w:val="003505E0"/>
    <w:rsid w:val="003547CD"/>
    <w:rsid w:val="00373F5D"/>
    <w:rsid w:val="003B1236"/>
    <w:rsid w:val="003E6450"/>
    <w:rsid w:val="004000D7"/>
    <w:rsid w:val="00405321"/>
    <w:rsid w:val="00424A92"/>
    <w:rsid w:val="00474CF5"/>
    <w:rsid w:val="004A049B"/>
    <w:rsid w:val="004B1944"/>
    <w:rsid w:val="004E043F"/>
    <w:rsid w:val="00504E43"/>
    <w:rsid w:val="00532DF2"/>
    <w:rsid w:val="00552FF7"/>
    <w:rsid w:val="00561E6B"/>
    <w:rsid w:val="005753EE"/>
    <w:rsid w:val="0058371C"/>
    <w:rsid w:val="005C60B2"/>
    <w:rsid w:val="005C6416"/>
    <w:rsid w:val="005E37E4"/>
    <w:rsid w:val="00616F3F"/>
    <w:rsid w:val="006247C4"/>
    <w:rsid w:val="00653720"/>
    <w:rsid w:val="006E3B71"/>
    <w:rsid w:val="006F6326"/>
    <w:rsid w:val="006F6731"/>
    <w:rsid w:val="00701F9D"/>
    <w:rsid w:val="007023AB"/>
    <w:rsid w:val="007470EE"/>
    <w:rsid w:val="00753B47"/>
    <w:rsid w:val="00757726"/>
    <w:rsid w:val="007908F4"/>
    <w:rsid w:val="007C0B2B"/>
    <w:rsid w:val="007D270E"/>
    <w:rsid w:val="00801BEB"/>
    <w:rsid w:val="00804BF2"/>
    <w:rsid w:val="00834D72"/>
    <w:rsid w:val="00844D21"/>
    <w:rsid w:val="00854133"/>
    <w:rsid w:val="008613FB"/>
    <w:rsid w:val="008676E5"/>
    <w:rsid w:val="00875E27"/>
    <w:rsid w:val="008776F0"/>
    <w:rsid w:val="008900A7"/>
    <w:rsid w:val="0089172A"/>
    <w:rsid w:val="00891B19"/>
    <w:rsid w:val="008A22C6"/>
    <w:rsid w:val="008E4629"/>
    <w:rsid w:val="00960744"/>
    <w:rsid w:val="00986C99"/>
    <w:rsid w:val="009C1AC3"/>
    <w:rsid w:val="009F048F"/>
    <w:rsid w:val="009F6401"/>
    <w:rsid w:val="00A12928"/>
    <w:rsid w:val="00A253FE"/>
    <w:rsid w:val="00A2749A"/>
    <w:rsid w:val="00A70B65"/>
    <w:rsid w:val="00A96C08"/>
    <w:rsid w:val="00AA42D7"/>
    <w:rsid w:val="00AC5899"/>
    <w:rsid w:val="00B15340"/>
    <w:rsid w:val="00B57909"/>
    <w:rsid w:val="00B72B35"/>
    <w:rsid w:val="00B87695"/>
    <w:rsid w:val="00B928EF"/>
    <w:rsid w:val="00BD4490"/>
    <w:rsid w:val="00BE1FD4"/>
    <w:rsid w:val="00BF240D"/>
    <w:rsid w:val="00C07F80"/>
    <w:rsid w:val="00C251F7"/>
    <w:rsid w:val="00C601C5"/>
    <w:rsid w:val="00C6130E"/>
    <w:rsid w:val="00C678ED"/>
    <w:rsid w:val="00CB5E4F"/>
    <w:rsid w:val="00CD4BC9"/>
    <w:rsid w:val="00CE6085"/>
    <w:rsid w:val="00D17A31"/>
    <w:rsid w:val="00D33F83"/>
    <w:rsid w:val="00D543D9"/>
    <w:rsid w:val="00D9397D"/>
    <w:rsid w:val="00DB01D4"/>
    <w:rsid w:val="00DC2E8D"/>
    <w:rsid w:val="00DD1A34"/>
    <w:rsid w:val="00DD4885"/>
    <w:rsid w:val="00DD51B2"/>
    <w:rsid w:val="00E127E3"/>
    <w:rsid w:val="00E2036C"/>
    <w:rsid w:val="00E20A54"/>
    <w:rsid w:val="00E270E5"/>
    <w:rsid w:val="00E547F1"/>
    <w:rsid w:val="00E7363B"/>
    <w:rsid w:val="00E97024"/>
    <w:rsid w:val="00E97F84"/>
    <w:rsid w:val="00EE7812"/>
    <w:rsid w:val="00F06B4C"/>
    <w:rsid w:val="00F11FD1"/>
    <w:rsid w:val="00F506B3"/>
    <w:rsid w:val="00F64579"/>
    <w:rsid w:val="00FA4AB4"/>
    <w:rsid w:val="00FC6AC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8E1A"/>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749A"/>
    <w:rPr>
      <w:sz w:val="16"/>
      <w:szCs w:val="16"/>
    </w:rPr>
  </w:style>
  <w:style w:type="paragraph" w:styleId="CommentText">
    <w:name w:val="annotation text"/>
    <w:basedOn w:val="Normal"/>
    <w:link w:val="CommentTextChar"/>
    <w:uiPriority w:val="99"/>
    <w:semiHidden/>
    <w:unhideWhenUsed/>
    <w:rsid w:val="00A2749A"/>
    <w:rPr>
      <w:sz w:val="20"/>
      <w:szCs w:val="20"/>
    </w:rPr>
  </w:style>
  <w:style w:type="character" w:customStyle="1" w:styleId="CommentTextChar">
    <w:name w:val="Comment Text Char"/>
    <w:basedOn w:val="DefaultParagraphFont"/>
    <w:link w:val="CommentText"/>
    <w:uiPriority w:val="99"/>
    <w:semiHidden/>
    <w:rsid w:val="00A2749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749A"/>
    <w:rPr>
      <w:b/>
      <w:bCs/>
    </w:rPr>
  </w:style>
  <w:style w:type="character" w:customStyle="1" w:styleId="CommentSubjectChar">
    <w:name w:val="Comment Subject Char"/>
    <w:basedOn w:val="CommentTextChar"/>
    <w:link w:val="CommentSubject"/>
    <w:uiPriority w:val="99"/>
    <w:semiHidden/>
    <w:rsid w:val="00A2749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4E61-0644-4E7A-9CCD-27960779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1ADBEDA4</Template>
  <TotalTime>27</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2022-01-25T17:42:00Z</dcterms:created>
  <dcterms:modified xsi:type="dcterms:W3CDTF">2022-01-26T11:46:00Z</dcterms:modified>
</cp:coreProperties>
</file>